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от  «</w:t>
      </w:r>
      <w:r w:rsidR="000918D7">
        <w:rPr>
          <w:rFonts w:ascii="Times New Roman" w:hAnsi="Times New Roman" w:cs="Times New Roman"/>
          <w:bCs/>
          <w:sz w:val="26"/>
          <w:szCs w:val="26"/>
        </w:rPr>
        <w:t>28</w:t>
      </w:r>
      <w:r w:rsidR="00FF11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918D7">
        <w:rPr>
          <w:rFonts w:ascii="Times New Roman" w:hAnsi="Times New Roman" w:cs="Times New Roman"/>
          <w:bCs/>
          <w:sz w:val="26"/>
          <w:szCs w:val="26"/>
          <w:u w:val="single"/>
        </w:rPr>
        <w:t>марта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918D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0A1968" w:rsidRPr="000A19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 </w:t>
      </w:r>
      <w:r w:rsidR="000918D7" w:rsidRPr="000918D7">
        <w:rPr>
          <w:rFonts w:ascii="Times New Roman" w:hAnsi="Times New Roman" w:cs="Times New Roman"/>
          <w:bCs/>
          <w:sz w:val="26"/>
          <w:szCs w:val="26"/>
          <w:u w:val="single"/>
        </w:rPr>
        <w:t>403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841E9A" w:rsidRDefault="007465C4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_____2022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Акт о состоянии общего имущества собственников помещений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многоквартирном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gramStart"/>
            <w:r w:rsidR="00FA5AF3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</w:t>
      </w: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b/>
          <w:bCs/>
          <w:sz w:val="26"/>
          <w:szCs w:val="26"/>
        </w:rPr>
        <w:t>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41870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Финансовое управление Администрации Пограничного муниципального округа </w:t>
      </w:r>
      <w:r w:rsidR="00A32AAE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л</w:t>
      </w:r>
      <w:proofErr w:type="gramEnd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ДАЛЬНЕВОСТОЧНОЕ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1654DD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C37F56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85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1654DD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1091,14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C37F56" w:rsidRDefault="00C37F56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86</w:t>
            </w:r>
          </w:p>
        </w:tc>
        <w:tc>
          <w:tcPr>
            <w:tcW w:w="3341" w:type="dxa"/>
            <w:shd w:val="clear" w:color="auto" w:fill="auto"/>
          </w:tcPr>
          <w:p w:rsidR="00C37F56" w:rsidRPr="00543ACC" w:rsidRDefault="001654DD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1842,98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1654D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1766,9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88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1654D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2704,47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127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1654D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3829,54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131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1654D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1835,48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1654D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2728,04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172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1654D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2140,86</w:t>
            </w:r>
          </w:p>
        </w:tc>
      </w:tr>
    </w:tbl>
    <w:p w:rsidR="00C97B8C" w:rsidRPr="00E70560" w:rsidRDefault="00C97B8C" w:rsidP="0029733A">
      <w:pPr>
        <w:pStyle w:val="Standard"/>
        <w:jc w:val="both"/>
        <w:rPr>
          <w:sz w:val="26"/>
          <w:szCs w:val="26"/>
          <w:lang w:val="en-US"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>енее</w:t>
      </w:r>
      <w:proofErr w:type="gramStart"/>
      <w:r w:rsidR="00383B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3BA6">
        <w:rPr>
          <w:rFonts w:ascii="Times New Roman" w:hAnsi="Times New Roman" w:cs="Times New Roman"/>
          <w:sz w:val="26"/>
          <w:szCs w:val="26"/>
        </w:rPr>
        <w:t xml:space="preserve">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</w:t>
      </w:r>
      <w:proofErr w:type="gramStart"/>
      <w:r w:rsidR="00324EB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24EBD">
        <w:rPr>
          <w:rFonts w:ascii="Times New Roman" w:hAnsi="Times New Roman" w:cs="Times New Roman"/>
          <w:sz w:val="26"/>
          <w:szCs w:val="26"/>
        </w:rPr>
        <w:t xml:space="preserve">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Порядком проведения осмотров </w:t>
      </w:r>
      <w:proofErr w:type="gramStart"/>
      <w:r w:rsidRPr="00FA5AF3">
        <w:rPr>
          <w:rFonts w:ascii="Times New Roman" w:hAnsi="Times New Roman" w:cs="Times New Roman"/>
          <w:b/>
          <w:bCs/>
          <w:sz w:val="26"/>
          <w:szCs w:val="26"/>
        </w:rPr>
        <w:t>ознакомлен</w:t>
      </w:r>
      <w:proofErr w:type="gramEnd"/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FD085E">
        <w:rPr>
          <w:rFonts w:ascii="Times New Roman" w:hAnsi="Times New Roman" w:cs="Times New Roman"/>
          <w:color w:val="000000"/>
          <w:sz w:val="26"/>
          <w:szCs w:val="26"/>
        </w:rPr>
        <w:t>04.04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D631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6315B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D6315B">
        <w:rPr>
          <w:rFonts w:ascii="Times New Roman" w:hAnsi="Times New Roman" w:cs="Times New Roman"/>
          <w:color w:val="000000"/>
          <w:sz w:val="26"/>
          <w:szCs w:val="26"/>
        </w:rPr>
        <w:t xml:space="preserve"> 27</w:t>
      </w:r>
      <w:bookmarkStart w:id="0" w:name="_GoBack"/>
      <w:bookmarkEnd w:id="0"/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654DD" w:rsidRPr="001654DD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F313BD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4F6840" w:rsidRPr="00165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</w:t>
      </w:r>
      <w:proofErr w:type="gramStart"/>
      <w:r w:rsidR="005D65B7">
        <w:rPr>
          <w:rFonts w:ascii="Times New Roman" w:hAnsi="Times New Roman" w:cs="Times New Roman"/>
          <w:b/>
          <w:bCs/>
          <w:sz w:val="26"/>
          <w:szCs w:val="26"/>
        </w:rPr>
        <w:t>помещения</w:t>
      </w:r>
      <w:proofErr w:type="gramEnd"/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организацией не ранее 10 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 xml:space="preserve">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Претендент считается соответствующим установленному требованию, если он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>совокупность 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более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Пограничный,                   ул.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>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>об управления не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5B7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3) реквизиты банковского счета для внесения собственниками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  <w:proofErr w:type="gramEnd"/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  <w:proofErr w:type="gramEnd"/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</w:t>
      </w:r>
      <w:r w:rsidR="00867D9B">
        <w:rPr>
          <w:rFonts w:ascii="Times New Roman" w:hAnsi="Times New Roman" w:cs="Times New Roman"/>
          <w:sz w:val="26"/>
          <w:szCs w:val="26"/>
        </w:rPr>
        <w:lastRenderedPageBreak/>
        <w:t xml:space="preserve">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</w:t>
      </w:r>
      <w:proofErr w:type="gramEnd"/>
      <w:r w:rsidR="00867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заявками на участие в конкурсе.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  <w:proofErr w:type="gramEnd"/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>иям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9.13. В случае если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10.7. Организатор 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10.8. Те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10.9.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 xml:space="preserve">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с </w:t>
      </w:r>
      <w:r w:rsidR="00657430">
        <w:rPr>
          <w:rFonts w:ascii="Times New Roman" w:hAnsi="Times New Roman" w:cs="Times New Roman"/>
          <w:sz w:val="26"/>
          <w:szCs w:val="26"/>
        </w:rPr>
        <w:t>даты поступления</w:t>
      </w:r>
      <w:proofErr w:type="gramEnd"/>
      <w:r w:rsidR="00657430">
        <w:rPr>
          <w:rFonts w:ascii="Times New Roman" w:hAnsi="Times New Roman" w:cs="Times New Roman"/>
          <w:sz w:val="26"/>
          <w:szCs w:val="26"/>
        </w:rPr>
        <w:t xml:space="preserve">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10.13. Организатор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615C4C" w:rsidRPr="00496D33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4DD">
        <w:rPr>
          <w:rFonts w:ascii="Times New Roman" w:hAnsi="Times New Roman" w:cs="Times New Roman"/>
          <w:b/>
          <w:sz w:val="26"/>
          <w:szCs w:val="26"/>
        </w:rPr>
        <w:t>Размер обеспечения исполнения обязательств составляет</w:t>
      </w:r>
      <w:r w:rsidR="00657430" w:rsidRPr="001654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9A32B5">
        <w:tc>
          <w:tcPr>
            <w:tcW w:w="2126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85</w:t>
            </w:r>
          </w:p>
        </w:tc>
        <w:tc>
          <w:tcPr>
            <w:tcW w:w="3101" w:type="dxa"/>
          </w:tcPr>
          <w:p w:rsidR="00F313BD" w:rsidRPr="00255CD3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54D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785,42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86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95482,82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3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87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99421,48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4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88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141445,4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5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127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186376,8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6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131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99405,84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7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137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139274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8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172</w:t>
            </w:r>
          </w:p>
        </w:tc>
        <w:tc>
          <w:tcPr>
            <w:tcW w:w="3101" w:type="dxa"/>
          </w:tcPr>
          <w:p w:rsidR="00F313BD" w:rsidRDefault="001654D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118942,6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841E9A" w:rsidRDefault="001E0BEC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 w:rsidR="007465C4">
        <w:rPr>
          <w:rFonts w:ascii="Times New Roman" w:hAnsi="Times New Roman" w:cs="Times New Roman"/>
          <w:bCs/>
          <w:sz w:val="26"/>
          <w:szCs w:val="26"/>
        </w:rPr>
        <w:t>_____2022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7E76"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5115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1232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915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2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69,56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6,54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455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3620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Default="005C4E88" w:rsidP="005C4E88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11691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2349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1720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197,26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3240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11919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2578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1649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197,86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4040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Pr="00E014D2" w:rsidRDefault="00E014D2" w:rsidP="00E014D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CD7D03" w:rsidRDefault="00E014D2" w:rsidP="00CD7D0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916696"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1971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13300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3548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2524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173,8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173,8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15,3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923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4340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77B6" w:rsidRDefault="00B777B6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P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Pr="00E014D2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д.127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56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561E5"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</w:t>
      </w:r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16870 </w:t>
      </w:r>
      <w:proofErr w:type="spellStart"/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4586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3574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306,84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6 шт.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366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63,8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1202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3940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E014D2" w:rsidRPr="002B23C4" w:rsidRDefault="00E014D2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д.131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___1978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5C4E88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11165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2981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1713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293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4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250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42,5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780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4120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д.137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___1979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 w:rsidR="005C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2546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6312" w:rsidRDefault="00D4631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562" w:rsidRDefault="00AE256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д.172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CD7D03" w:rsidRPr="004F6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D7D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1998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D7D03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446B97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Default="001E0BEC" w:rsidP="001E0BEC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446B97" w:rsidRPr="002B23C4" w:rsidRDefault="001E0BEC" w:rsidP="00446B9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446B97" w:rsidRPr="002B23C4" w:rsidRDefault="00446B97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1E0BEC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46B97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2B23C4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 w:rsidRPr="00AB1292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841E9A" w:rsidRDefault="001E0BEC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____2022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CD7D03" w:rsidRPr="00033C0E" w:rsidTr="00CD7D03">
        <w:tc>
          <w:tcPr>
            <w:tcW w:w="9345" w:type="dxa"/>
            <w:gridSpan w:val="4"/>
          </w:tcPr>
          <w:p w:rsidR="00CD7D03" w:rsidRPr="0048351B" w:rsidRDefault="0048351B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14 до 35 квартир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0,48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1,75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0,78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устранение засоров внутренних канализационных трубопроводов;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0,0125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7728" w:type="dxa"/>
            <w:gridSpan w:val="3"/>
          </w:tcPr>
          <w:p w:rsidR="00033C0E" w:rsidRPr="00033C0E" w:rsidRDefault="00033C0E" w:rsidP="00033C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21,68</w:t>
            </w:r>
          </w:p>
        </w:tc>
      </w:tr>
      <w:tr w:rsidR="00156BE3" w:rsidRPr="00033C0E" w:rsidTr="00033C0E">
        <w:tc>
          <w:tcPr>
            <w:tcW w:w="7728" w:type="dxa"/>
            <w:gridSpan w:val="3"/>
          </w:tcPr>
          <w:p w:rsidR="00156BE3" w:rsidRPr="00033C0E" w:rsidRDefault="00156BE3" w:rsidP="00156B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Согласно п. 59 Постановления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Правительства РФ от 06.02.2006 №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75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правления многоквартирным домом» увеличение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ера платы за содержание и ремонт жилого помещения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10 процентов  </w:t>
            </w:r>
          </w:p>
        </w:tc>
        <w:tc>
          <w:tcPr>
            <w:tcW w:w="1617" w:type="dxa"/>
          </w:tcPr>
          <w:p w:rsidR="00156BE3" w:rsidRPr="00033C0E" w:rsidRDefault="00156BE3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56BE3" w:rsidRPr="00033C0E" w:rsidTr="00033C0E">
        <w:tc>
          <w:tcPr>
            <w:tcW w:w="7728" w:type="dxa"/>
            <w:gridSpan w:val="3"/>
          </w:tcPr>
          <w:p w:rsidR="00156BE3" w:rsidRPr="00033C0E" w:rsidRDefault="00156BE3" w:rsidP="00033C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156BE3" w:rsidRPr="00033C0E" w:rsidRDefault="00156BE3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23,85</w:t>
            </w:r>
          </w:p>
        </w:tc>
      </w:tr>
    </w:tbl>
    <w:p w:rsidR="00156BE3" w:rsidRDefault="00156BE3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0ED" w:rsidRPr="00156BE3" w:rsidRDefault="00AB1292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определяется орг</w:t>
      </w:r>
      <w:r w:rsidR="00D010ED" w:rsidRPr="00156BE3">
        <w:rPr>
          <w:rFonts w:ascii="Times New Roman" w:hAnsi="Times New Roman" w:cs="Times New Roman"/>
          <w:sz w:val="20"/>
          <w:szCs w:val="20"/>
        </w:rPr>
        <w:t>анизатором конкурса (Постановление Администрации Пограничного муниципального округа от 31.01.2020 № 55).</w:t>
      </w:r>
    </w:p>
    <w:p w:rsidR="00CD7D03" w:rsidRDefault="00156BE3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33C0E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033C0E" w:rsidRPr="00033C0E" w:rsidTr="00033C0E">
        <w:tc>
          <w:tcPr>
            <w:tcW w:w="9345" w:type="dxa"/>
            <w:gridSpan w:val="4"/>
          </w:tcPr>
          <w:p w:rsidR="00033C0E" w:rsidRPr="00033C0E" w:rsidRDefault="00D722E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свыше</w:t>
            </w:r>
            <w:proofErr w:type="spellEnd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35 </w:t>
            </w: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квартир</w:t>
            </w:r>
            <w:proofErr w:type="spellEnd"/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0,15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известковая окраска ранее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3,45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033C0E" w:rsidRPr="00033C0E" w:rsidRDefault="00033C0E" w:rsidP="0003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033C0E" w:rsidRPr="00033C0E" w:rsidTr="00033C0E">
        <w:tc>
          <w:tcPr>
            <w:tcW w:w="56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13</w:t>
            </w:r>
          </w:p>
        </w:tc>
        <w:tc>
          <w:tcPr>
            <w:tcW w:w="5223" w:type="dxa"/>
          </w:tcPr>
          <w:p w:rsidR="00033C0E" w:rsidRPr="00033C0E" w:rsidRDefault="00033C0E" w:rsidP="00033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</w:t>
            </w:r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7" w:type="dxa"/>
          </w:tcPr>
          <w:p w:rsidR="00033C0E" w:rsidRPr="00033C0E" w:rsidRDefault="00033C0E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033C0E" w:rsidRPr="00033C0E" w:rsidTr="00033C0E">
        <w:tc>
          <w:tcPr>
            <w:tcW w:w="7728" w:type="dxa"/>
            <w:gridSpan w:val="3"/>
          </w:tcPr>
          <w:p w:rsidR="00033C0E" w:rsidRPr="00033C0E" w:rsidRDefault="00033C0E" w:rsidP="0003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033C0E" w:rsidRPr="00156BE3" w:rsidRDefault="00907CFF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56B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19</w:t>
            </w:r>
            <w:r w:rsidRPr="00156B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,48</w:t>
            </w:r>
          </w:p>
        </w:tc>
      </w:tr>
      <w:tr w:rsidR="00156BE3" w:rsidRPr="00033C0E" w:rsidTr="00033C0E">
        <w:tc>
          <w:tcPr>
            <w:tcW w:w="7728" w:type="dxa"/>
            <w:gridSpan w:val="3"/>
          </w:tcPr>
          <w:p w:rsidR="00156BE3" w:rsidRPr="00033C0E" w:rsidRDefault="00156BE3" w:rsidP="00156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Согласно п. 59 Постановления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Правительства РФ от 06.02.2006 №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75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 порядке проведения органом местного самоуправления открытого конкурса по отбору управляющей организации для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правления многоквартирным домом» увеличение 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ера платы за содержание и ремонт жилого помещения</w:t>
            </w:r>
            <w:r w:rsidRPr="009F28D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на 10 процентов  </w:t>
            </w:r>
          </w:p>
        </w:tc>
        <w:tc>
          <w:tcPr>
            <w:tcW w:w="1617" w:type="dxa"/>
          </w:tcPr>
          <w:p w:rsidR="00156BE3" w:rsidRPr="00156BE3" w:rsidRDefault="00156BE3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</w:tc>
      </w:tr>
      <w:tr w:rsidR="00156BE3" w:rsidRPr="00033C0E" w:rsidTr="00033C0E">
        <w:tc>
          <w:tcPr>
            <w:tcW w:w="7728" w:type="dxa"/>
            <w:gridSpan w:val="3"/>
          </w:tcPr>
          <w:p w:rsidR="00156BE3" w:rsidRPr="00033C0E" w:rsidRDefault="00156BE3" w:rsidP="00033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56B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:rsidR="00156BE3" w:rsidRPr="00156BE3" w:rsidRDefault="00156BE3" w:rsidP="0003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21,43</w:t>
            </w:r>
          </w:p>
        </w:tc>
      </w:tr>
    </w:tbl>
    <w:p w:rsidR="00907CFF" w:rsidRPr="00156BE3" w:rsidRDefault="00AB1292" w:rsidP="00907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907CFF" w:rsidRPr="00156BE3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определяется организатором конкурса (Постановление Администрации Пограничного муниципального округа от 31.01.2020 № 55).</w:t>
      </w:r>
    </w:p>
    <w:p w:rsidR="00AB1292" w:rsidRPr="00AB1292" w:rsidRDefault="00907CFF" w:rsidP="00907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  <w:r w:rsidR="00AB1292" w:rsidRPr="00AB1292">
        <w:rPr>
          <w:rFonts w:ascii="Times New Roman" w:hAnsi="Times New Roman" w:cs="Times New Roman"/>
          <w:sz w:val="26"/>
          <w:szCs w:val="26"/>
        </w:rPr>
        <w:tab/>
      </w:r>
    </w:p>
    <w:p w:rsidR="008420E8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2EE" w:rsidRDefault="00D722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22EE" w:rsidRPr="004C77D5" w:rsidRDefault="00D722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FF1140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  <w:proofErr w:type="gramEnd"/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</w:t>
      </w:r>
      <w:proofErr w:type="gramStart"/>
      <w:r w:rsidR="00D7324D" w:rsidRPr="00D7324D">
        <w:rPr>
          <w:rFonts w:ascii="Times New Roman" w:hAnsi="Times New Roman" w:cs="Times New Roman"/>
          <w:sz w:val="16"/>
          <w:szCs w:val="16"/>
        </w:rPr>
        <w:t>помещения</w:t>
      </w:r>
      <w:proofErr w:type="gramEnd"/>
      <w:r w:rsidR="00D7324D" w:rsidRPr="00D7324D">
        <w:rPr>
          <w:rFonts w:ascii="Times New Roman" w:hAnsi="Times New Roman" w:cs="Times New Roman"/>
          <w:sz w:val="16"/>
          <w:szCs w:val="16"/>
        </w:rPr>
        <w:t xml:space="preserve">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lastRenderedPageBreak/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FF1140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  <w:proofErr w:type="gramEnd"/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</w:t>
      </w:r>
      <w:proofErr w:type="gramEnd"/>
      <w:r w:rsidR="00D7324D">
        <w:rPr>
          <w:rFonts w:ascii="Times New Roman" w:hAnsi="Times New Roman" w:cs="Times New Roman"/>
          <w:sz w:val="26"/>
          <w:szCs w:val="26"/>
        </w:rPr>
        <w:t xml:space="preserve">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496D33" w:rsidRPr="0012158F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.п</w:t>
      </w:r>
      <w:proofErr w:type="spellEnd"/>
      <w:proofErr w:type="gram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для участия в открытом конкурсе по отбору управляющей организации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20_ г.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>№ ______</w:t>
      </w:r>
      <w:proofErr w:type="gramStart"/>
      <w:r w:rsidRPr="00496D33">
        <w:t xml:space="preserve"> </w:t>
      </w:r>
      <w:r w:rsidRPr="0050075E">
        <w:rPr>
          <w:rFonts w:ascii="Times New Roman" w:hAnsi="Times New Roman" w:cs="Times New Roman"/>
        </w:rPr>
        <w:t>)</w:t>
      </w:r>
      <w:proofErr w:type="gramEnd"/>
      <w:r w:rsidRPr="0050075E">
        <w:rPr>
          <w:rFonts w:ascii="Times New Roman" w:hAnsi="Times New Roman" w:cs="Times New Roman"/>
        </w:rPr>
        <w:t xml:space="preserve">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1F1" w:rsidRPr="0050075E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самостоятельно или с привлечением третьих лиц, по управлению,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в многоквартирном доме на праве общей долевой 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>сущие конструкции данного дома</w:t>
      </w:r>
      <w:proofErr w:type="gramEnd"/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  <w:proofErr w:type="gramEnd"/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- собственники жилых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D704C8" w:rsidRDefault="00496D33" w:rsidP="00156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3.1.3. Разрабатывать и доводить до сведения собственников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3.1.5. Осуществлять перерасчет стоимости работ и услуг в соответствие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lastRenderedPageBreak/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 в случае 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3.1.6. Обеспечивать хранение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противопожарные и эксплуатационные требования,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права и законные интересы соседей, правила 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 исполнением Договора, в том числе рассмотрения отчета,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собраний направлять предложения по 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 xml:space="preserve">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3.3.19. Исполнять иные обязанности,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3.4.7. Требовать изменения размера платы за коммунальные услуги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превышающими установленную продолжительность, в порядке,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3.4.11.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>о имущества, а также сведения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3.4.12. Осуществлять другие права,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  <w:proofErr w:type="gramEnd"/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установленную продолжительность, т.е.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количеству полных 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>ости соответствующей услуги или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4.1.5. В случае возникновения необходимости проведения не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3E57A7">
        <w:rPr>
          <w:rFonts w:ascii="Times New Roman" w:hAnsi="Times New Roman" w:cs="Times New Roman"/>
          <w:sz w:val="26"/>
          <w:szCs w:val="26"/>
        </w:rPr>
        <w:t>стоимость выполненных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5.7. Собственник несет ответственность за нарушение требований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6,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многоквартирным домом, в целях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контроль за выполнением обязательств по настоящему Договору,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услуг и (или) выполнения работ по содержанию и ремонту общего имущества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а)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нарушении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  <w:proofErr w:type="gramEnd"/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  <w:proofErr w:type="gramEnd"/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83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>казанных услуг.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от « _»____________ 2022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0384" w:rsidRPr="00555E45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555E45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555E45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1963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60%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E7E76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5115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1232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915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69,56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6,54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455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3620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Pr="008420E8" w:rsidRDefault="00BD0384" w:rsidP="00BD03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D0384" w:rsidRDefault="00BD0384" w:rsidP="00BD0384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д.86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11691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2349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1720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197,26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д.87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11919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2578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1649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197,86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184,3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22. Уборочная площадь общих коридоров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13,56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ества многоквартирного дома 4040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Pr="00E014D2" w:rsidRDefault="00BD0384" w:rsidP="00BD0384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д.88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1971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13300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3548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2524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173,8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173,8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15,3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923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холодное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BD0384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д.127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1977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16870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4586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3574 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306,84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6 шт.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366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63,8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1202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3940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E014D2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E014D2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E014D2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д.131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___1978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5C4E88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70%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11165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2981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1713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293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4 шт.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250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42,5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780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4120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д.137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___1979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2546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4400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Барано-Оренбкргское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ул. ДОС, д.172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BD03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D7D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13171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3554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1998 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453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5 шт.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383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70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 962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4400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</w:t>
            </w: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Default="00BD0384" w:rsidP="00FF1140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BD0384" w:rsidRPr="00446B97" w:rsidTr="00FF114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84" w:rsidRPr="00446B97" w:rsidRDefault="00BD0384" w:rsidP="00FF1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48351B" w:rsidRDefault="0048351B" w:rsidP="00BD0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2022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B62E05" w:rsidRDefault="00574FB3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 xml:space="preserve">в многоквартирном доме, </w:t>
      </w:r>
      <w:proofErr w:type="gramStart"/>
      <w:r w:rsidRPr="00D010ED">
        <w:rPr>
          <w:rFonts w:ascii="Times New Roman" w:hAnsi="Times New Roman" w:cs="Times New Roman"/>
          <w:sz w:val="26"/>
          <w:szCs w:val="26"/>
        </w:rPr>
        <w:t>являющегося</w:t>
      </w:r>
      <w:proofErr w:type="gramEnd"/>
    </w:p>
    <w:p w:rsidR="00574FB3" w:rsidRPr="00D010ED" w:rsidRDefault="00574FB3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74FB3" w:rsidRPr="00B62E05" w:rsidRDefault="00574FB3" w:rsidP="00574F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74FB3" w:rsidRPr="00033C0E" w:rsidTr="001E0073">
        <w:tc>
          <w:tcPr>
            <w:tcW w:w="9345" w:type="dxa"/>
            <w:gridSpan w:val="4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14 до 35 квартир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0,48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простая масляная окраска оконных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1,75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0,78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замена лампы накаливания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0,0125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0,47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7728" w:type="dxa"/>
            <w:gridSpan w:val="3"/>
          </w:tcPr>
          <w:p w:rsidR="00574FB3" w:rsidRPr="00033C0E" w:rsidRDefault="00574FB3" w:rsidP="001E007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3C0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21,68</w:t>
            </w:r>
          </w:p>
        </w:tc>
      </w:tr>
    </w:tbl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FB3" w:rsidRPr="00AB1292" w:rsidRDefault="00574FB3" w:rsidP="00574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74FB3" w:rsidRPr="00033C0E" w:rsidTr="001E0073">
        <w:tc>
          <w:tcPr>
            <w:tcW w:w="9345" w:type="dxa"/>
            <w:gridSpan w:val="4"/>
          </w:tcPr>
          <w:p w:rsidR="00574FB3" w:rsidRPr="00033C0E" w:rsidRDefault="003177AF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свыше</w:t>
            </w:r>
            <w:proofErr w:type="spellEnd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35 </w:t>
            </w:r>
            <w:proofErr w:type="spellStart"/>
            <w:r w:rsidRPr="003177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квартир</w:t>
            </w:r>
            <w:proofErr w:type="spellEnd"/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выше третьего этажа с предварительным увлажнением;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выше третьего этажа;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4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2 раза в месяц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уборка крыльца и площадки перед входом в подъезд;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 раза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0,001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0,76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0,07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ремонт продухов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0,73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0,923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0,12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промывка и </w:t>
            </w:r>
            <w:proofErr w:type="spell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опрессовка</w:t>
            </w:r>
            <w:proofErr w:type="spell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трубопроводов системы центрального отопления;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3,45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0,47</w:t>
            </w:r>
          </w:p>
          <w:p w:rsidR="00574FB3" w:rsidRPr="00033C0E" w:rsidRDefault="00574FB3" w:rsidP="001E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устранения аварий в соответствии с установленными </w:t>
            </w: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немедленно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574FB3" w:rsidRPr="00033C0E" w:rsidTr="001E0073">
        <w:tc>
          <w:tcPr>
            <w:tcW w:w="56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13</w:t>
            </w:r>
          </w:p>
        </w:tc>
        <w:tc>
          <w:tcPr>
            <w:tcW w:w="5223" w:type="dxa"/>
          </w:tcPr>
          <w:p w:rsidR="00574FB3" w:rsidRPr="00033C0E" w:rsidRDefault="00574FB3" w:rsidP="001E0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033C0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:rsidR="00574FB3" w:rsidRPr="00033C0E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,42</w:t>
            </w:r>
          </w:p>
        </w:tc>
      </w:tr>
      <w:tr w:rsidR="00574FB3" w:rsidRPr="00033C0E" w:rsidTr="001E0073">
        <w:tc>
          <w:tcPr>
            <w:tcW w:w="7728" w:type="dxa"/>
            <w:gridSpan w:val="3"/>
          </w:tcPr>
          <w:p w:rsidR="00574FB3" w:rsidRPr="00033C0E" w:rsidRDefault="00574FB3" w:rsidP="001E0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033C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:rsidR="00574FB3" w:rsidRPr="00907CFF" w:rsidRDefault="00574FB3" w:rsidP="001E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,48</w:t>
            </w:r>
          </w:p>
        </w:tc>
      </w:tr>
    </w:tbl>
    <w:p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555E45" w:rsidRDefault="005E5292" w:rsidP="005E529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292" w:rsidRPr="008420E8" w:rsidRDefault="005E5292" w:rsidP="005E52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D43BD" w:rsidRPr="005D43BD" w:rsidRDefault="005D43BD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proofErr w:type="gramStart"/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</w:t>
      </w:r>
      <w:proofErr w:type="gram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) прибора учета соответствующего коммунального ресурса, если иное не установлено соглашением собственников 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Pr="00A96E45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КГУП «Примтеплоэнерго»</w:t>
            </w:r>
          </w:p>
        </w:tc>
        <w:tc>
          <w:tcPr>
            <w:tcW w:w="2552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Пограничный,</w:t>
            </w:r>
          </w:p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Карла-Макса 1б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43BD" w:rsidRPr="00866B26" w:rsidTr="001E0073">
        <w:tc>
          <w:tcPr>
            <w:tcW w:w="857" w:type="dxa"/>
          </w:tcPr>
          <w:p w:rsidR="005D43BD" w:rsidRPr="00866B26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3177AF" w:rsidRPr="00866B26" w:rsidRDefault="003177AF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3177AF" w:rsidRPr="00514460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3177AF" w:rsidRPr="00514460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Ят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177AF" w:rsidRPr="00866B26" w:rsidTr="001E0073">
        <w:tc>
          <w:tcPr>
            <w:tcW w:w="857" w:type="dxa"/>
          </w:tcPr>
          <w:p w:rsid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3177AF" w:rsidRPr="00866B26" w:rsidRDefault="003177AF" w:rsidP="001E007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3177AF" w:rsidRPr="00890CDF" w:rsidRDefault="003177AF" w:rsidP="00890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3177AF" w:rsidRDefault="003177AF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3177AF" w:rsidRPr="003177AF" w:rsidRDefault="00D6315B" w:rsidP="00317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177AF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  <w:tr w:rsidR="00D722EE" w:rsidRPr="00866B26" w:rsidTr="001E0073">
        <w:tc>
          <w:tcPr>
            <w:tcW w:w="857" w:type="dxa"/>
          </w:tcPr>
          <w:p w:rsidR="00D722EE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53" w:type="dxa"/>
          </w:tcPr>
          <w:p w:rsidR="00D722EE" w:rsidRP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722EE" w:rsidRPr="00890CDF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722EE" w:rsidRPr="003177AF" w:rsidRDefault="00D6315B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D722EE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  <w:tr w:rsidR="00D722EE" w:rsidRPr="00866B26" w:rsidTr="001E0073">
        <w:tc>
          <w:tcPr>
            <w:tcW w:w="857" w:type="dxa"/>
          </w:tcPr>
          <w:p w:rsidR="00D722EE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653" w:type="dxa"/>
          </w:tcPr>
          <w:p w:rsidR="00D722EE" w:rsidRPr="003177AF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722EE" w:rsidRP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</w:tc>
        <w:tc>
          <w:tcPr>
            <w:tcW w:w="3509" w:type="dxa"/>
          </w:tcPr>
          <w:p w:rsidR="00D722EE" w:rsidRDefault="00D722EE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722EE" w:rsidRPr="003177AF" w:rsidRDefault="00D6315B" w:rsidP="00D72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D722EE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310AE"/>
    <w:rsid w:val="00033C0E"/>
    <w:rsid w:val="00033C72"/>
    <w:rsid w:val="000524AA"/>
    <w:rsid w:val="000677BA"/>
    <w:rsid w:val="000918D7"/>
    <w:rsid w:val="000A1968"/>
    <w:rsid w:val="000D5FDC"/>
    <w:rsid w:val="000E09A1"/>
    <w:rsid w:val="0012158F"/>
    <w:rsid w:val="00151977"/>
    <w:rsid w:val="00156BE3"/>
    <w:rsid w:val="001617C1"/>
    <w:rsid w:val="001654DD"/>
    <w:rsid w:val="001739F7"/>
    <w:rsid w:val="001B1326"/>
    <w:rsid w:val="001E0073"/>
    <w:rsid w:val="001E05A3"/>
    <w:rsid w:val="001E0BEC"/>
    <w:rsid w:val="001E5D2E"/>
    <w:rsid w:val="00221254"/>
    <w:rsid w:val="0022456C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1F86"/>
    <w:rsid w:val="002E5D2D"/>
    <w:rsid w:val="002F4149"/>
    <w:rsid w:val="002F4675"/>
    <w:rsid w:val="00316B71"/>
    <w:rsid w:val="003177AF"/>
    <w:rsid w:val="00324EBD"/>
    <w:rsid w:val="00380768"/>
    <w:rsid w:val="00383130"/>
    <w:rsid w:val="00383BA6"/>
    <w:rsid w:val="00386D0B"/>
    <w:rsid w:val="00396839"/>
    <w:rsid w:val="003B372F"/>
    <w:rsid w:val="003D4CF7"/>
    <w:rsid w:val="003E57A7"/>
    <w:rsid w:val="00441870"/>
    <w:rsid w:val="00442E0C"/>
    <w:rsid w:val="00443D19"/>
    <w:rsid w:val="00446B97"/>
    <w:rsid w:val="00453B2D"/>
    <w:rsid w:val="0048351B"/>
    <w:rsid w:val="004867C0"/>
    <w:rsid w:val="00496D33"/>
    <w:rsid w:val="004975C0"/>
    <w:rsid w:val="004B2C74"/>
    <w:rsid w:val="004C77D5"/>
    <w:rsid w:val="004E3EAA"/>
    <w:rsid w:val="004F11DE"/>
    <w:rsid w:val="004F6840"/>
    <w:rsid w:val="0050075E"/>
    <w:rsid w:val="00523BAA"/>
    <w:rsid w:val="005279FB"/>
    <w:rsid w:val="00543ACC"/>
    <w:rsid w:val="00554A60"/>
    <w:rsid w:val="00555E45"/>
    <w:rsid w:val="00563D5A"/>
    <w:rsid w:val="00574A4B"/>
    <w:rsid w:val="00574FB3"/>
    <w:rsid w:val="00585BEA"/>
    <w:rsid w:val="00590457"/>
    <w:rsid w:val="00594BA8"/>
    <w:rsid w:val="005C4E88"/>
    <w:rsid w:val="005D1990"/>
    <w:rsid w:val="005D43BD"/>
    <w:rsid w:val="005D65B7"/>
    <w:rsid w:val="005E5292"/>
    <w:rsid w:val="006005B3"/>
    <w:rsid w:val="00615C4C"/>
    <w:rsid w:val="00620A75"/>
    <w:rsid w:val="0064265D"/>
    <w:rsid w:val="00657430"/>
    <w:rsid w:val="00670040"/>
    <w:rsid w:val="0068395E"/>
    <w:rsid w:val="006B73AB"/>
    <w:rsid w:val="006F1BDA"/>
    <w:rsid w:val="0073657B"/>
    <w:rsid w:val="007465C4"/>
    <w:rsid w:val="007A4E3A"/>
    <w:rsid w:val="00841E9A"/>
    <w:rsid w:val="008420E8"/>
    <w:rsid w:val="00866B26"/>
    <w:rsid w:val="00867D9B"/>
    <w:rsid w:val="008759A3"/>
    <w:rsid w:val="00890CDF"/>
    <w:rsid w:val="00907CFF"/>
    <w:rsid w:val="00916696"/>
    <w:rsid w:val="009308F8"/>
    <w:rsid w:val="009328B6"/>
    <w:rsid w:val="00937932"/>
    <w:rsid w:val="009918B7"/>
    <w:rsid w:val="009921F1"/>
    <w:rsid w:val="009A32B5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E2562"/>
    <w:rsid w:val="00AF6FA2"/>
    <w:rsid w:val="00B21699"/>
    <w:rsid w:val="00B220D7"/>
    <w:rsid w:val="00B34C3E"/>
    <w:rsid w:val="00B35BC5"/>
    <w:rsid w:val="00B57C7C"/>
    <w:rsid w:val="00B62E05"/>
    <w:rsid w:val="00B777B6"/>
    <w:rsid w:val="00BA0201"/>
    <w:rsid w:val="00BA14AC"/>
    <w:rsid w:val="00BA3A74"/>
    <w:rsid w:val="00BA5849"/>
    <w:rsid w:val="00BA7DD9"/>
    <w:rsid w:val="00BD0384"/>
    <w:rsid w:val="00C21337"/>
    <w:rsid w:val="00C222BE"/>
    <w:rsid w:val="00C344AD"/>
    <w:rsid w:val="00C37E41"/>
    <w:rsid w:val="00C37F56"/>
    <w:rsid w:val="00C930DE"/>
    <w:rsid w:val="00C97B8C"/>
    <w:rsid w:val="00CD4060"/>
    <w:rsid w:val="00CD7D03"/>
    <w:rsid w:val="00D010ED"/>
    <w:rsid w:val="00D12F7F"/>
    <w:rsid w:val="00D4386C"/>
    <w:rsid w:val="00D46312"/>
    <w:rsid w:val="00D54F88"/>
    <w:rsid w:val="00D55707"/>
    <w:rsid w:val="00D6315B"/>
    <w:rsid w:val="00D704C8"/>
    <w:rsid w:val="00D722EE"/>
    <w:rsid w:val="00D7324D"/>
    <w:rsid w:val="00D8395D"/>
    <w:rsid w:val="00DB346A"/>
    <w:rsid w:val="00DD2DFF"/>
    <w:rsid w:val="00E014D2"/>
    <w:rsid w:val="00E06D96"/>
    <w:rsid w:val="00E43A64"/>
    <w:rsid w:val="00E561E5"/>
    <w:rsid w:val="00E70560"/>
    <w:rsid w:val="00EE0129"/>
    <w:rsid w:val="00EE7E76"/>
    <w:rsid w:val="00F23649"/>
    <w:rsid w:val="00F313BD"/>
    <w:rsid w:val="00FA5AF3"/>
    <w:rsid w:val="00FB7A8C"/>
    <w:rsid w:val="00FD085E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7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7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12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108D-8A6D-413C-977D-EE70490A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26632</Words>
  <Characters>151809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69</cp:revision>
  <cp:lastPrinted>2022-03-24T02:42:00Z</cp:lastPrinted>
  <dcterms:created xsi:type="dcterms:W3CDTF">2020-10-29T04:04:00Z</dcterms:created>
  <dcterms:modified xsi:type="dcterms:W3CDTF">2022-03-30T05:26:00Z</dcterms:modified>
</cp:coreProperties>
</file>